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41" w:rsidRPr="00876BC6" w:rsidRDefault="00B91E75">
      <w:pPr>
        <w:rPr>
          <w:rFonts w:ascii="Freestyle Script" w:hAnsi="Freestyle Script"/>
          <w:color w:val="1F497D" w:themeColor="text2"/>
          <w:sz w:val="96"/>
          <w:szCs w:val="96"/>
        </w:rPr>
      </w:pPr>
      <w:r w:rsidRPr="00876BC6">
        <w:rPr>
          <w:rFonts w:ascii="Freestyle Script" w:hAnsi="Freestyle Script"/>
          <w:noProof/>
          <w:color w:val="1F497D" w:themeColor="text2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4828189</wp:posOffset>
            </wp:positionH>
            <wp:positionV relativeFrom="paragraph">
              <wp:posOffset>-676275</wp:posOffset>
            </wp:positionV>
            <wp:extent cx="1282416" cy="4591050"/>
            <wp:effectExtent l="0" t="0" r="0" b="0"/>
            <wp:wrapNone/>
            <wp:docPr id="2" name="Picture 0" descr="Leatherwoodsviogn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herwoodsviogni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94" cy="461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BC6">
        <w:rPr>
          <w:rFonts w:ascii="Freestyle Script" w:hAnsi="Freestyle Script"/>
          <w:color w:val="1F497D" w:themeColor="text2"/>
          <w:sz w:val="96"/>
          <w:szCs w:val="96"/>
        </w:rPr>
        <w:t>Leatherwood Viognier 201</w:t>
      </w:r>
      <w:r w:rsidR="00652629">
        <w:rPr>
          <w:rFonts w:ascii="Freestyle Script" w:hAnsi="Freestyle Script"/>
          <w:color w:val="1F497D" w:themeColor="text2"/>
          <w:sz w:val="96"/>
          <w:szCs w:val="96"/>
        </w:rPr>
        <w:t>7</w:t>
      </w:r>
    </w:p>
    <w:p w:rsidR="00B91E75" w:rsidRPr="004E5A49" w:rsidRDefault="00B91E75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Blend: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5A49">
        <w:rPr>
          <w:rFonts w:ascii="Times New Roman" w:hAnsi="Times New Roman" w:cs="Times New Roman"/>
          <w:sz w:val="24"/>
          <w:szCs w:val="24"/>
        </w:rPr>
        <w:t>100% Viognier</w:t>
      </w:r>
    </w:p>
    <w:p w:rsidR="00B91E75" w:rsidRPr="004E5A49" w:rsidRDefault="00B91E75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>Winemaker: Chris de Wet</w:t>
      </w:r>
    </w:p>
    <w:p w:rsidR="004E5A49" w:rsidRDefault="00B91E75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>Appellation: Western Cape, South Africa</w:t>
      </w:r>
    </w:p>
    <w:p w:rsidR="00FC69BD" w:rsidRDefault="00FC69BD" w:rsidP="00B9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Yield: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10 tons/acre</w:t>
      </w:r>
    </w:p>
    <w:p w:rsidR="00D84D79" w:rsidRPr="004E5A49" w:rsidRDefault="00D84D79" w:rsidP="00B9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Harvested: </w:t>
      </w:r>
      <w:r w:rsidR="004815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2/12/201</w:t>
      </w:r>
      <w:r w:rsidR="00652629">
        <w:rPr>
          <w:rFonts w:ascii="Times New Roman" w:hAnsi="Times New Roman" w:cs="Times New Roman"/>
          <w:sz w:val="24"/>
          <w:szCs w:val="24"/>
        </w:rPr>
        <w:t>7</w:t>
      </w:r>
    </w:p>
    <w:p w:rsidR="004E5A49" w:rsidRPr="004E5A49" w:rsidRDefault="004E5A49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Production: </w:t>
      </w:r>
      <w:r w:rsidR="0048154C">
        <w:rPr>
          <w:rFonts w:ascii="Times New Roman" w:hAnsi="Times New Roman" w:cs="Times New Roman"/>
          <w:sz w:val="24"/>
          <w:szCs w:val="24"/>
        </w:rPr>
        <w:t xml:space="preserve"> </w:t>
      </w:r>
      <w:r w:rsidRPr="004E5A49">
        <w:rPr>
          <w:rFonts w:ascii="Times New Roman" w:hAnsi="Times New Roman" w:cs="Times New Roman"/>
          <w:sz w:val="24"/>
          <w:szCs w:val="24"/>
        </w:rPr>
        <w:t>5000 cases</w:t>
      </w:r>
    </w:p>
    <w:p w:rsidR="004E5A49" w:rsidRDefault="00B91E75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Aging: Steel Tank </w:t>
      </w:r>
      <w:r w:rsidR="004E5A49" w:rsidRPr="004E5A49">
        <w:rPr>
          <w:rFonts w:ascii="Times New Roman" w:hAnsi="Times New Roman" w:cs="Times New Roman"/>
          <w:sz w:val="24"/>
          <w:szCs w:val="24"/>
        </w:rPr>
        <w:t>with a late-harvested batch blended in for extra richness.</w:t>
      </w:r>
    </w:p>
    <w:p w:rsidR="002200B2" w:rsidRPr="004E5A49" w:rsidRDefault="002200B2" w:rsidP="00B9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Brix</w:t>
      </w:r>
      <w:r w:rsidR="004B53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B91E75" w:rsidRPr="004E5A49" w:rsidRDefault="004E5A49" w:rsidP="00B91E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A49">
        <w:rPr>
          <w:rFonts w:ascii="Times New Roman" w:hAnsi="Times New Roman" w:cs="Times New Roman"/>
          <w:sz w:val="24"/>
          <w:szCs w:val="24"/>
        </w:rPr>
        <w:t>Alc</w:t>
      </w:r>
      <w:proofErr w:type="spellEnd"/>
      <w:r w:rsidR="00AC67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2629">
        <w:rPr>
          <w:rFonts w:ascii="Times New Roman" w:hAnsi="Times New Roman" w:cs="Times New Roman"/>
          <w:sz w:val="24"/>
          <w:szCs w:val="24"/>
        </w:rPr>
        <w:t>13.9</w:t>
      </w:r>
    </w:p>
    <w:p w:rsidR="004E5A49" w:rsidRPr="004E5A49" w:rsidRDefault="004E5A49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Ph: 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A49">
        <w:rPr>
          <w:rFonts w:ascii="Times New Roman" w:hAnsi="Times New Roman" w:cs="Times New Roman"/>
          <w:sz w:val="24"/>
          <w:szCs w:val="24"/>
        </w:rPr>
        <w:t>3.02</w:t>
      </w:r>
      <w:r w:rsidR="009828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E5A49" w:rsidRPr="004E5A49" w:rsidRDefault="004E5A49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RS: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2629">
        <w:rPr>
          <w:rFonts w:ascii="Times New Roman" w:hAnsi="Times New Roman" w:cs="Times New Roman"/>
          <w:sz w:val="24"/>
          <w:szCs w:val="24"/>
        </w:rPr>
        <w:t>6.0 g/L</w:t>
      </w:r>
    </w:p>
    <w:p w:rsidR="004E5A49" w:rsidRDefault="004E5A49" w:rsidP="00B91E75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TA: </w:t>
      </w:r>
      <w:r w:rsidR="004815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A49">
        <w:rPr>
          <w:rFonts w:ascii="Times New Roman" w:hAnsi="Times New Roman" w:cs="Times New Roman"/>
          <w:sz w:val="24"/>
          <w:szCs w:val="24"/>
        </w:rPr>
        <w:t>7.</w:t>
      </w:r>
      <w:r w:rsidR="00652629">
        <w:rPr>
          <w:rFonts w:ascii="Times New Roman" w:hAnsi="Times New Roman" w:cs="Times New Roman"/>
          <w:sz w:val="24"/>
          <w:szCs w:val="24"/>
        </w:rPr>
        <w:t>7</w:t>
      </w:r>
    </w:p>
    <w:p w:rsidR="00B91E75" w:rsidRPr="00B91E75" w:rsidRDefault="00B91E75" w:rsidP="00B91E75">
      <w:pPr>
        <w:rPr>
          <w:sz w:val="24"/>
          <w:szCs w:val="24"/>
          <w:u w:val="single"/>
        </w:rPr>
      </w:pPr>
      <w:r w:rsidRPr="00B91E75">
        <w:rPr>
          <w:sz w:val="24"/>
          <w:szCs w:val="24"/>
          <w:u w:val="single"/>
        </w:rPr>
        <w:t>Beverage Testing Institute Ratings:</w:t>
      </w:r>
    </w:p>
    <w:p w:rsidR="00B91E75" w:rsidRPr="00B91E75" w:rsidRDefault="00B91E75" w:rsidP="00B91E75">
      <w:pPr>
        <w:rPr>
          <w:rFonts w:ascii="Times New Roman" w:hAnsi="Times New Roman" w:cs="Times New Roman"/>
          <w:i/>
          <w:sz w:val="24"/>
          <w:szCs w:val="24"/>
        </w:rPr>
      </w:pPr>
      <w:r w:rsidRPr="00B91E75">
        <w:rPr>
          <w:i/>
          <w:sz w:val="24"/>
          <w:szCs w:val="24"/>
        </w:rPr>
        <w:t>Tangerine, mango, golden pineapple and cantaloupe compliment a honey noted but dry supple palate with a medium body and ripe balanced finish. Has just enough acidity to balance the cornucopia of fruit, but could not be described as crisp.</w:t>
      </w:r>
    </w:p>
    <w:p w:rsidR="00FD39FD" w:rsidRDefault="004E5A49" w:rsidP="00B91E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6396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3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BTI </w:t>
      </w:r>
      <w:r w:rsidR="00B91E75" w:rsidRPr="00B91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WORLD WINE CHAMPIONSHIPS AWARD: </w:t>
      </w:r>
    </w:p>
    <w:p w:rsidR="00B91E75" w:rsidRPr="00FD39FD" w:rsidRDefault="00263966" w:rsidP="00B91E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FD39FD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>GOLD</w:t>
      </w:r>
      <w:r w:rsidR="00B91E75" w:rsidRPr="00FD39FD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 xml:space="preserve"> M</w:t>
      </w:r>
      <w:r w:rsidRPr="00FD39FD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 xml:space="preserve">EDAL; 93 </w:t>
      </w:r>
      <w:r w:rsidR="00FD39FD" w:rsidRPr="00FD39FD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>POINTS; BEST BUY; HIGHLY RECOMMENDED</w:t>
      </w:r>
    </w:p>
    <w:p w:rsidR="00B91E75" w:rsidRPr="004E5A49" w:rsidRDefault="004E5A49" w:rsidP="00B91E75">
      <w:pPr>
        <w:spacing w:after="0" w:line="240" w:lineRule="atLeast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4E5A49">
        <w:rPr>
          <w:rFonts w:asciiTheme="majorHAnsi" w:eastAsia="Times New Roman" w:hAnsiTheme="majorHAnsi" w:cs="Times New Roman"/>
          <w:sz w:val="24"/>
          <w:szCs w:val="24"/>
          <w:u w:val="single"/>
        </w:rPr>
        <w:t>Food Suggestion:</w:t>
      </w:r>
    </w:p>
    <w:p w:rsidR="00B91E75" w:rsidRPr="00134644" w:rsidRDefault="00B91E75" w:rsidP="00B91E75">
      <w:pPr>
        <w:spacing w:after="120" w:line="240" w:lineRule="atLeast"/>
        <w:rPr>
          <w:rFonts w:eastAsia="Times New Roman" w:cs="Times New Roman"/>
          <w:i/>
          <w:sz w:val="24"/>
          <w:szCs w:val="24"/>
        </w:rPr>
      </w:pPr>
      <w:r w:rsidRPr="00134644">
        <w:rPr>
          <w:rFonts w:eastAsia="Times New Roman" w:cs="Times New Roman"/>
          <w:i/>
          <w:color w:val="333333"/>
          <w:sz w:val="24"/>
          <w:szCs w:val="24"/>
        </w:rPr>
        <w:t xml:space="preserve">The highly aromatic and fruit forward nature of Viognier </w:t>
      </w:r>
      <w:r w:rsidR="00C70055">
        <w:rPr>
          <w:rFonts w:eastAsia="Times New Roman" w:cs="Times New Roman"/>
          <w:i/>
          <w:color w:val="333333"/>
          <w:sz w:val="24"/>
          <w:szCs w:val="24"/>
        </w:rPr>
        <w:t>partners</w:t>
      </w:r>
      <w:r w:rsidRPr="00134644">
        <w:rPr>
          <w:rFonts w:eastAsia="Times New Roman" w:cs="Times New Roman"/>
          <w:i/>
          <w:color w:val="333333"/>
          <w:sz w:val="24"/>
          <w:szCs w:val="24"/>
        </w:rPr>
        <w:t xml:space="preserve"> very well with Thai food. It latches onto to ginger with enthusiasm and the muskiness of Viognier also leads to an affinity with mushrooms.</w:t>
      </w:r>
    </w:p>
    <w:p w:rsidR="004E5A49" w:rsidRDefault="00F360D2" w:rsidP="0098282F">
      <w:pPr>
        <w:spacing w:after="0"/>
        <w:ind w:left="1440" w:firstLine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54610</wp:posOffset>
            </wp:positionV>
            <wp:extent cx="666115" cy="891540"/>
            <wp:effectExtent l="19050" t="0" r="635" b="0"/>
            <wp:wrapTight wrapText="bothSides">
              <wp:wrapPolygon edited="0">
                <wp:start x="-618" y="0"/>
                <wp:lineTo x="-618" y="21231"/>
                <wp:lineTo x="21621" y="21231"/>
                <wp:lineTo x="21621" y="0"/>
                <wp:lineTo x="-618" y="0"/>
              </wp:wrapPolygon>
            </wp:wrapTight>
            <wp:docPr id="4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A49">
        <w:rPr>
          <w:rFonts w:ascii="Lucida Calligraphy" w:hAnsi="Lucida Calligraphy"/>
          <w:sz w:val="20"/>
          <w:szCs w:val="20"/>
        </w:rPr>
        <w:t xml:space="preserve">              </w:t>
      </w:r>
    </w:p>
    <w:p w:rsidR="0098282F" w:rsidRDefault="0098282F" w:rsidP="0098282F">
      <w:pPr>
        <w:spacing w:after="0"/>
        <w:ind w:left="1440" w:firstLine="720"/>
        <w:rPr>
          <w:rFonts w:ascii="Lucida Calligraphy" w:hAnsi="Lucida Calligraphy"/>
          <w:sz w:val="20"/>
          <w:szCs w:val="20"/>
        </w:rPr>
      </w:pPr>
      <w:bookmarkStart w:id="0" w:name="_GoBack"/>
      <w:bookmarkEnd w:id="0"/>
    </w:p>
    <w:p w:rsidR="0098282F" w:rsidRDefault="0098282F" w:rsidP="0098282F">
      <w:pPr>
        <w:spacing w:after="0"/>
        <w:ind w:left="1440" w:firstLine="720"/>
        <w:rPr>
          <w:rFonts w:ascii="Lucida Calligraphy" w:hAnsi="Lucida Calligraphy"/>
          <w:sz w:val="20"/>
          <w:szCs w:val="20"/>
        </w:rPr>
      </w:pPr>
    </w:p>
    <w:p w:rsidR="0098282F" w:rsidRDefault="0098282F" w:rsidP="0098282F">
      <w:pPr>
        <w:spacing w:after="0"/>
        <w:ind w:left="1440" w:firstLine="720"/>
        <w:rPr>
          <w:rFonts w:ascii="Lucida Calligraphy" w:hAnsi="Lucida Calligraphy"/>
          <w:sz w:val="20"/>
          <w:szCs w:val="20"/>
        </w:rPr>
      </w:pPr>
    </w:p>
    <w:p w:rsidR="00F360D2" w:rsidRDefault="00F360D2" w:rsidP="0098282F">
      <w:pPr>
        <w:spacing w:after="0"/>
        <w:ind w:left="2160"/>
        <w:rPr>
          <w:rFonts w:asciiTheme="majorHAnsi" w:hAnsiTheme="majorHAnsi"/>
          <w:sz w:val="18"/>
          <w:szCs w:val="18"/>
        </w:rPr>
      </w:pPr>
    </w:p>
    <w:p w:rsidR="00F360D2" w:rsidRDefault="00F360D2" w:rsidP="0098282F">
      <w:pPr>
        <w:spacing w:after="0"/>
        <w:ind w:left="2160"/>
        <w:rPr>
          <w:rFonts w:asciiTheme="majorHAnsi" w:hAnsiTheme="majorHAnsi"/>
          <w:sz w:val="18"/>
          <w:szCs w:val="18"/>
        </w:rPr>
      </w:pPr>
    </w:p>
    <w:p w:rsidR="00F360D2" w:rsidRDefault="00F360D2" w:rsidP="0098282F">
      <w:pPr>
        <w:spacing w:after="0"/>
        <w:ind w:left="21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</w:t>
      </w:r>
    </w:p>
    <w:p w:rsidR="0098282F" w:rsidRPr="00F360D2" w:rsidRDefault="00F360D2" w:rsidP="0098282F">
      <w:pPr>
        <w:spacing w:after="0"/>
        <w:ind w:left="21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</w:t>
      </w:r>
      <w:r w:rsidRPr="00F360D2">
        <w:rPr>
          <w:rFonts w:asciiTheme="majorHAnsi" w:hAnsiTheme="majorHAnsi"/>
          <w:sz w:val="18"/>
          <w:szCs w:val="18"/>
        </w:rPr>
        <w:t>www.vineyardvarieties.com</w:t>
      </w:r>
    </w:p>
    <w:p w:rsidR="0098282F" w:rsidRPr="004E5A49" w:rsidRDefault="0098282F" w:rsidP="0098282F">
      <w:pPr>
        <w:spacing w:after="0"/>
        <w:ind w:left="1440" w:firstLine="720"/>
        <w:rPr>
          <w:rFonts w:ascii="Lucida Calligraphy" w:hAnsi="Lucida Calligraphy"/>
          <w:sz w:val="18"/>
          <w:szCs w:val="18"/>
        </w:rPr>
      </w:pPr>
    </w:p>
    <w:sectPr w:rsidR="0098282F" w:rsidRPr="004E5A49" w:rsidSect="008E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1E75"/>
    <w:rsid w:val="00156E6F"/>
    <w:rsid w:val="002200B2"/>
    <w:rsid w:val="00263966"/>
    <w:rsid w:val="0048154C"/>
    <w:rsid w:val="004B5334"/>
    <w:rsid w:val="004E5A49"/>
    <w:rsid w:val="00563599"/>
    <w:rsid w:val="00610E62"/>
    <w:rsid w:val="00652629"/>
    <w:rsid w:val="00871AD0"/>
    <w:rsid w:val="00876BC6"/>
    <w:rsid w:val="008E7C41"/>
    <w:rsid w:val="0098282F"/>
    <w:rsid w:val="00A36584"/>
    <w:rsid w:val="00AC678B"/>
    <w:rsid w:val="00B91E75"/>
    <w:rsid w:val="00C70055"/>
    <w:rsid w:val="00CA67C7"/>
    <w:rsid w:val="00D84D79"/>
    <w:rsid w:val="00F360D2"/>
    <w:rsid w:val="00FC69B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8569"/>
  <w15:docId w15:val="{E1796D99-DE4F-49F8-9494-4F5C2D3A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nic dewet</cp:lastModifiedBy>
  <cp:revision>14</cp:revision>
  <dcterms:created xsi:type="dcterms:W3CDTF">2015-01-06T21:15:00Z</dcterms:created>
  <dcterms:modified xsi:type="dcterms:W3CDTF">2017-08-21T01:06:00Z</dcterms:modified>
</cp:coreProperties>
</file>